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6：</w:t>
      </w: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年包头市直属机关干部职工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运动会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羽毛球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竞赛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规程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主办单位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中共包头市直属机关工作委员会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二、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承办单位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包头市中体盛奥场馆管理有限公司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三、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比赛时间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（具体时间待定）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</w:rPr>
        <w:t>比赛地点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市直机关健身中心（包头市委党校体育馆）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五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、竞赛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组别和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项目：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（一）领导干部组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1.双打比赛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（二）干部职工组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混合团体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男子双打、女子双打、男子单打、女子单打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混合双打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4"/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六、运动员资格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符合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包头市直属机关干部职工羽毛球比赛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通知的各项规定。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经县级以上医务部门检查证明身体健康，运动员本人身体条件满足羽毛球项目比赛需要。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参赛运动员为本单位在职或长期临时（聘用时间需达半年以上）工作人员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七、参赛要求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混合团体每个参赛单位可报领队1名，教练员1名，男、女运动员共计15名（领队和教练可兼任队员，总参赛人数15人）。每个单位最多报一个队参加团体比赛。单项比赛各单位不限制报名人数，每名运动员最多报名参加一个单项的比赛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名参加男、女双打和混合双打的运动员，禁止跨单位配对参加比赛。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2.抽签之后，各单位各单项赛的报名不能更改。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3.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替换运动员的最后期限为赛前裁判长、教练员联席会议开始前。申请替换运动员的单位需向赛事主办方提交书面申请。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八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、竞赛办法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1.团体赛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6队及</w:t>
      </w:r>
      <w:r>
        <w:rPr>
          <w:rFonts w:hint="eastAsia" w:ascii="仿宋_GB2312" w:hAnsi="仿宋_GB2312" w:eastAsia="仿宋_GB2312" w:cs="仿宋_GB2312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进行单循环赛决出名次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6队以上第一阶段进行分组循环，第二阶段进行淘汰赛直至决出名次。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（2）混合团体赛的分组，依据2022年包头市直属机关干部职工羽毛球赛的名次，确定种子队数量并抽签确定种子队分组，其它各队随机抽签进组。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（3）具体抽签编排方案由抽签工作组另行拟定，并报包头市机关工委工会批准。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2.单项赛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（1）男子单打、女子单打、男子双打、女子双打和混合双打5个项目均采用单淘汰赛。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（2）单项比赛种子的确定，以上届比赛各单项赛的成绩排名为依据。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关于团体赛的规定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（1）混合团体的分组单循环赛采用“1 固定逆时针轮转法”确定比赛顺序。为保证比赛的完整和公正，裁判长有权对比赛顺序进行调整。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2）每次团体赛均采用五场三胜制。各单项运动员出场顺序由各队自行排列。出场顺序如下：第一混双、第一男双、第二混双、第二男双、第三混双。出场名单交换后，比赛运动员和出场顺序不得更改。在一次团体赛中每个运动员只能出场一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（3）团体赛出场名单交换后，比赛双方都不能以任何理由更换出场运动员。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4.规则、用球、服装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（1）比赛采用由中国羽毛球协会审定的《2017年羽毛球竞赛规则》。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比赛采用21分三局两胜制，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先得21分者胜本局，20平后，领先2分的一方胜该局，29平后,先得30分的一方胜该局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混合团体赛小组赛阶段</w:t>
      </w:r>
      <w:r>
        <w:rPr>
          <w:rFonts w:hint="eastAsia" w:ascii="仿宋_GB2312" w:hAnsi="仿宋_GB2312" w:eastAsia="仿宋_GB2312" w:cs="仿宋_GB2312"/>
          <w:sz w:val="32"/>
          <w:szCs w:val="32"/>
        </w:rPr>
        <w:t>一方先获得三场胜利后，后续场次将按照11分三局两胜制继续进行，每局比赛先得到11分一方获胜。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第二阶段一方先获得三场胜利，比赛即结束。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混合团体小组赛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</w:t>
      </w:r>
      <w:r>
        <w:rPr>
          <w:rFonts w:hint="eastAsia" w:ascii="仿宋_GB2312" w:hAnsi="仿宋_GB2312" w:eastAsia="仿宋_GB2312" w:cs="仿宋_GB2312"/>
          <w:sz w:val="32"/>
          <w:szCs w:val="32"/>
        </w:rPr>
        <w:t>分方法：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按照胜场数计算分数</w:t>
      </w:r>
      <w:r>
        <w:rPr>
          <w:rFonts w:hint="eastAsia" w:ascii="仿宋_GB2312" w:hAnsi="仿宋_GB2312" w:eastAsia="仿宋_GB2312" w:cs="仿宋_GB2312"/>
          <w:sz w:val="32"/>
          <w:szCs w:val="32"/>
        </w:rPr>
        <w:t>；两队积分相等，则按两队间的比赛胜者列前；两队以上积分相同，则按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胜局</w:t>
      </w:r>
      <w:r>
        <w:rPr>
          <w:rFonts w:hint="eastAsia" w:ascii="仿宋_GB2312" w:hAnsi="仿宋_GB2312" w:eastAsia="仿宋_GB2312" w:cs="仿宋_GB2312"/>
          <w:sz w:val="32"/>
          <w:szCs w:val="32"/>
        </w:rPr>
        <w:t>数决定名次。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（4）比赛使用由承办单位提供的符合比赛要求的羽毛球。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（5）比赛服装必须符包头市直属机关羽毛球比赛的有关规定。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九、弃权和罢赛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（一）弃权和罢赛的认定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1.正常弃权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到达赛区后，赛前运动员确因伤病，不能参加比赛的或一场比赛中受伤（或突发急性病）者，须由该运动员所在队，向裁判长提交书面弃权申请，并附市级（含）以上医院诊断证明或大会医生签署的诊断意见，证明其不能参加比赛或不能继续比赛，经审核同意后，可按正常弃权处理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2.非正常弃权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除以上正常弃权情形外，其它弃权行为均属非正常弃权。包括且不限于以下情况：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（1）团体赛赛前交换出场名单时，因迟到超过规定的交换时间10分钟，被判该次比赛弃权的；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（2）团体赛第一场比赛出场运动员，因迟到超过规定比赛时间10分钟，被判该场比赛弃权的；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（3）团体赛其它场次比赛出场运动员，因迟到超过规定的比赛时间10分钟，被判该场比赛弃权的，比赛时间从上一场裁判员宣布比赛结束开始计算；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（4）因一次团体赛的比赛中，一方出现两场弃权，被判该次团体赛弃权的；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（5）因团体赛出场名单填写出现错误，错误的场次被判弃权的；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（6）单项赛的运动员因迟到超过规定比赛时间10分钟，被判该场比赛弃权的，比赛时间从上一场裁判员宣布比赛结束开始计算。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３．罢赛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1）因运动员、运动队原因，比赛不能进行或中断、运动员或运动队赛前或赛中拒绝出场比赛或拒绝继续比赛、赛后拒绝参加颁奖仪式等行为，经说服教育工作后，由裁判长计时，时间超过10分钟，仍不比赛或不参加颁奖仪式的，视为罢赛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（2）弃权和罢赛的认定和解释工作由裁判长负责。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（3）被判非正常弃权或消极比赛者，所在运动队将被取消参加体育道德风尚奖评选的资格。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（4）造成罢赛事实的运动队、运动员，还将被取消该项目（团体赛或单项赛）比赛资格。情节严重者将取消该运动队所有项目的参赛资格。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十、奖励办法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按照组委会相关规定执行。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十一、最终解释权归属大赛组委会，未尽事宜，领队会议另行通知。</w:t>
      </w:r>
    </w:p>
    <w:p>
      <w:pPr>
        <w:pStyle w:val="5"/>
        <w:autoSpaceDN w:val="0"/>
        <w:spacing w:line="240" w:lineRule="auto"/>
        <w:ind w:left="0" w:leftChars="0" w:firstLine="0" w:firstLineChars="0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BEE0D1"/>
    <w:multiLevelType w:val="singleLevel"/>
    <w:tmpl w:val="E8BEE0D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5FD62CE"/>
    <w:rsid w:val="D5FD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586"/>
    </w:pPr>
    <w:rPr>
      <w:sz w:val="32"/>
      <w:szCs w:val="32"/>
    </w:rPr>
  </w:style>
  <w:style w:type="paragraph" w:customStyle="1" w:styleId="5">
    <w:name w:val="p0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2023-09-04T16:17:00Z</dcterms:created>
  <dc:creator>QQQQQQJ</dc:creator>
  <cp:lastModifiedBy>QQQQQQJ</cp:lastModifiedBy>
  <dcterms:modified xsi:type="dcterms:W3CDTF">2023-09-04T16:17:44Z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